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ora" w:cs="Lora" w:eastAsia="Lora" w:hAnsi="Lora"/>
          <w:i w:val="1"/>
          <w:sz w:val="22"/>
          <w:szCs w:val="22"/>
        </w:rPr>
      </w:pPr>
      <w:bookmarkStart w:colFirst="0" w:colLast="0" w:name="_heading=h.uwkkvz3w1iw" w:id="0"/>
      <w:bookmarkEnd w:id="0"/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Chain Storytelling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Lora" w:cs="Lora" w:eastAsia="Lora" w:hAnsi="Lora"/>
          <w:i w:val="1"/>
          <w:sz w:val="22"/>
          <w:szCs w:val="22"/>
          <w:rtl w:val="0"/>
        </w:rPr>
        <w:t xml:space="preserve">Op.19.2.1 1.2.1 “Attività dimostrative e azioni di informazione” GAL Terre di Argil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Rule="auto"/>
        <w:ind w:left="97" w:right="85" w:firstLine="0"/>
        <w:jc w:val="center"/>
        <w:rPr>
          <w:rFonts w:ascii="Lora" w:cs="Lora" w:eastAsia="Lora" w:hAnsi="Lora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Report </w:t>
      </w: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seminario 05/07/2022 </w:t>
      </w:r>
    </w:p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65" w:lineRule="auto"/>
        <w:ind w:left="97" w:right="85" w:firstLine="0"/>
        <w:jc w:val="center"/>
        <w:rPr>
          <w:rFonts w:ascii="Lora" w:cs="Lora" w:eastAsia="Lora" w:hAnsi="Lora"/>
          <w:i w:val="1"/>
          <w:sz w:val="24"/>
          <w:szCs w:val="24"/>
        </w:rPr>
      </w:pPr>
      <w:bookmarkStart w:colFirst="0" w:colLast="0" w:name="_heading=h.howe5mx3b5c" w:id="1"/>
      <w:bookmarkEnd w:id="1"/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sz w:val="26"/>
          <w:szCs w:val="26"/>
          <w:highlight w:val="white"/>
          <w:rtl w:val="0"/>
        </w:rPr>
        <w:t xml:space="preserve">La multifunzionalità e la biodiversità e capitale umano al centro del progetto di sviluppo  locale partendo dai più piccoli</w:t>
      </w: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L'incontro dello scorso 5 luglio realizzato ad Arnara e promosso dall'Associazione REV Green evidenzia l'importanza e la centralità di porre al centro di un percorso ed una strategia di sviluppo rurale la leva ed il tema dell'innovazione sociale; partendo dai più piccoli e ragionando sull'importanza di un territorio che - attraverso i servizi, le competenze, gli investimenti e l'idea di sviluppo e futuro - sia fruibile, vivibile ed a misura di "bambino".</w:t>
      </w:r>
    </w:p>
    <w:p w:rsidR="00000000" w:rsidDel="00000000" w:rsidP="00000000" w:rsidRDefault="00000000" w:rsidRPr="00000000" w14:paraId="0000000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territorio rurale rappresenta una "scuola a cielo aperto", di cui tradizione, biodiversità, cultura, storie e pieghe sono le materie portanti. </w:t>
      </w:r>
    </w:p>
    <w:p w:rsidR="00000000" w:rsidDel="00000000" w:rsidP="00000000" w:rsidRDefault="00000000" w:rsidRPr="00000000" w14:paraId="0000000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Partendo da questa idea e dai vari contributi e dalle molteplici letture presentate sia nell'incontro del 5 luglio, dal titolo "La multifunzionalità e la biodiversità e capitale umano al centro del progetto di sviluppo  locale partendo dai più piccoli", sia negli appuntamenti precedentemente promossi dall'Associazione REV Green e rientranti nel progetto "Agrifood chain storytelling" che hanno affrontato il medesimo tema (quello del 24 giugno a Castro dei Volsci e quello del 27 giugno a Colfelice; si veda a tal proposito il materiale presente nella sezione SRAI del sito www.revgreen.it) argomento e tema centrale dei lavori del seminario sono state le fattorie didattiche.</w:t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E, soprattutto, la centralità e l'importanza di coniugare in termini sinergici e multifunzionali, la propensione, la volontà, la tensione a praticare ed investire sull'agricoltura sociale espressa del comparto agricolo del territorio GAL terre di Argil con altre energie e traiettorie del territorio volte e performanti ad immaginare e costruire un "laboratorio didattico diffuso della ruralità".</w:t>
      </w:r>
    </w:p>
    <w:p w:rsidR="00000000" w:rsidDel="00000000" w:rsidP="00000000" w:rsidRDefault="00000000" w:rsidRPr="00000000" w14:paraId="0000000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Un'idea ed un obiettivo che hanno suscitato l'interesse dei partecipanti al seminario del 5 luglio e che è stato argomento centrale e fil rouge tematico-argomentativo dei lavori del laboratorio; sia nei momenti in aula sia nei vari - ed estremamente vivi e partecipati - momenti maggiormente "pratici" e dedicati alla degustazione, allo storytelling.</w:t>
      </w:r>
    </w:p>
    <w:p w:rsidR="00000000" w:rsidDel="00000000" w:rsidP="00000000" w:rsidRDefault="00000000" w:rsidRPr="00000000" w14:paraId="0000000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La giornata ed il seminario del 5 luglio promosso da REV Green ha, pertanto, sostanzialmente rappresentato un momento di connessione, confronto e sinergia tra le politiche top down ed i processi bottom up; tra letture di ampio respiro e progettualità territoriali; tra strategia sistemica ed istanze individuali.</w:t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Avendo come fattore e chiave di connessione il territorio: organizzare e rafforzare il sistema territorio per far crescere e dare piena espressione alle energie, alle risorse, alle singolarità che lo animano; partendo dalle potenzialità e dalle necessità. Dare piena espressione alle capacità del sistema produttivo in termini di multifunzionalità, di servizi.</w:t>
      </w:r>
    </w:p>
    <w:p w:rsidR="00000000" w:rsidDel="00000000" w:rsidP="00000000" w:rsidRDefault="00000000" w:rsidRPr="00000000" w14:paraId="0000000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Molteplici gli argomenti e gli aspetti approfonditi ed analizzati, tutti di estremo interesse e indiscutibile funzionalità. </w:t>
      </w:r>
    </w:p>
    <w:p w:rsidR="00000000" w:rsidDel="00000000" w:rsidP="00000000" w:rsidRDefault="00000000" w:rsidRPr="00000000" w14:paraId="0000001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L'idea, condivisa ed emersa con forza, è quella di proporre al mondo della scuola un percorso di conoscenza e di esperienza alla riscoperta delle nostre produzioni tipiche, da presentare in modo organico ed intra-settoriale; connettendo le attività turistiche al settore primario, attraverso la qualità e la certificazione così da valorizzare e promuovere una più ampia cultura del territorio.</w:t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L'idea emersa dal laboratorio - e caldeggiata dall'Associazione REV Green, nonché dalla struttura tecnica del GAL Terre di Argil (presente all'appuntamento e particolarmente partecipe ai lavori e sensibile al tema) - è quella di strutturare un "sistema territorio" in grado di offrire ai ragazzi l’opportunità di sperimentare le relazioni che esistono tra attività agricola, consumi alimentari e salvaguardia della natura e del paesaggio, attraverso l’osservazione e il “saper fare”, fornendo nello stesso tempo all’agricoltore un’occasione per valorizzare la propria attività e il proprio sapere, in un’ottica innovativa di multifunzionalità.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 affermare e ricordarci che il cibo è uno strumento del vivere sano, un valore culturale e una testimonianza di saperi radicati nella storia del proprio territorio, ma è anche uno stile di vita, espressione di convivialità, strumento di conoscenza, confronto e scambio fra le persone.</w:t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Valorizzando e ponendo al centro del sistema-territorio la Fattoria Didattica come luogo di bellezza, premiando le buone pratiche di co-progettazione con la scuola, promuovendo iniziative dedicate alle famiglie e ai cittadini, anche quelli più fragili. Ma, soprattutto, impegnandosi nella costruzione di relazioni e collaborazioni con le istituzioni e gli enti pubblici, favorendo anche l’integrazione tra sociale e profit, per innescare la costruzione di patti educativi territoriali, come policy che miri alla crescita e allo sviluppo dei territori e al benessere delle comunità.</w:t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Le “fattorie sociali” sono i soggetti protagonisti dell’agricoltura sociale e rappresentano realtà eticamente orientate dove attività agricole e finalità sociali, imprenditorialità agricola e responsabilità sociale si intrecciano in un connubio virtuoso. Se da un lato svolgono un insieme di funzioni e valenze tipiche di tutte le aziende agricole che fanno attività sociale, dall’altro manifestano una tendenza ad aprirsi ad altre funzioni e servizi all’interno del contesto territoriale rurale, arrivando a configurarsi come elementi innovativi di welfare locale e come centri di nuovi servizi sociali innovativi, fino ad allargarsi ad attività di animazione del territorio rurale, passando dal welfare aziendale ad elementi di welfare territoriale.</w:t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Le fattorie impegnate nell’agricoltura sociale offrono alle politiche pubbliche e alla collettività servizi socio-sanitari, formativi, ricreativi, di coesione sociale e di inserimento lavorativo di soggetti contrattualmente deboli, a costi più sostenibili, con forti contenuti inclusivi e con effetti virtuosi sullo sviluppo delle comunità locali.</w:t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Pertanto, le fattorie sociali si configurano come luoghi e contesti di inclusione sociale, di benessere, di riabilitazione e cura che offrono al welfare dei territori rurali l’occasione di sperimentare un cambiamento importante nella tipologia dei servizi socio-sanitari. 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</w:rPr>
      </w:pPr>
      <w:bookmarkStart w:colFirst="0" w:colLast="0" w:name="_heading=h.gjdgxs" w:id="2"/>
      <w:bookmarkEnd w:id="2"/>
      <w:r w:rsidDel="00000000" w:rsidR="00000000" w:rsidRPr="00000000">
        <w:rPr>
          <w:rFonts w:ascii="Lora" w:cs="Lora" w:eastAsia="Lora" w:hAnsi="Lora"/>
          <w:rtl w:val="0"/>
        </w:rPr>
        <w:t xml:space="preserve">Ridisegnare il sistema di welfare attorno a valori completamente diversi dal passato (superando un’ottica assistenzialistica fondata esclusivamente sulla redistribuzione delle risorse dal sistema produttivo ai servizi di cura), in un’ottica sistemica e di responsabilità diffusa (con il coinvolgimento di tutti gli attori sociali),  può consentire di migliorare il livello della qualità della vita della popolazione locale, aumentare il potere attrattivo di un territorio e allo stesso tempo sperimentare “dal basso” pratiche di sostenibilità sociale, ambientale ed economica.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113.38582677165356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REV GREEN Associazione no Profit - C.F. 92089860602 Via Borgo Cave, 73 – 03020 ARNARA (FR)                    pec: revgreen@pec.it - e-mail: associazionerevgreen@gmail.com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5524500</wp:posOffset>
          </wp:positionH>
          <wp:positionV relativeFrom="paragraph">
            <wp:posOffset>42301</wp:posOffset>
          </wp:positionV>
          <wp:extent cx="1105853" cy="71090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853" cy="710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180237</wp:posOffset>
          </wp:positionV>
          <wp:extent cx="3037523" cy="37346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7423" l="1437" r="1223" t="9244"/>
                  <a:stretch>
                    <a:fillRect/>
                  </a:stretch>
                </pic:blipFill>
                <pic:spPr>
                  <a:xfrm>
                    <a:off x="0" y="0"/>
                    <a:ext cx="3037523" cy="3734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359B"/>
    <w:rPr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55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P6LvTUT/VX51ro1vh50hi0xFw==">CgMxLjAyDWgudXdra3Z6M3cxaXcyDWguaG93ZTVteDNiNWMyCGguZ2pkZ3hzOAByITFWMGR2X0FKcnhLWnJvM1dFUjZBYVl0UDU3THYxcURMcA==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2024-10-29T12:18:00Z</dcterms:created>
  <dc:creator>Chiara Lucia Guarino</dc:creator>
</cp:coreProperties>
</file>