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ora" w:cs="Lora" w:eastAsia="Lora" w:hAnsi="Lora"/>
          <w:i w:val="1"/>
          <w:sz w:val="22"/>
          <w:szCs w:val="22"/>
        </w:rPr>
      </w:pPr>
      <w:bookmarkStart w:colFirst="0" w:colLast="0" w:name="_heading=h.uwkkvz3w1iw" w:id="0"/>
      <w:bookmarkEnd w:id="0"/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Agrifood</w:t>
      </w:r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 Chain Storytelling</w:t>
      </w: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Lora" w:cs="Lora" w:eastAsia="Lora" w:hAnsi="Lora"/>
          <w:i w:val="1"/>
          <w:sz w:val="22"/>
          <w:szCs w:val="22"/>
          <w:rtl w:val="0"/>
        </w:rPr>
        <w:t xml:space="preserve">Op.19.2.1 1.2.1 “Attività dimostrative e azioni di informazione” GAL Terre di Argil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0" w:lineRule="auto"/>
        <w:ind w:left="97" w:right="85" w:firstLine="0"/>
        <w:jc w:val="center"/>
        <w:rPr>
          <w:rFonts w:ascii="Lora" w:cs="Lora" w:eastAsia="Lora" w:hAnsi="Lora"/>
          <w:sz w:val="22"/>
          <w:szCs w:val="22"/>
        </w:rPr>
      </w:pPr>
      <w:r w:rsidDel="00000000" w:rsidR="00000000" w:rsidRPr="00000000">
        <w:rPr>
          <w:rFonts w:ascii="Lora" w:cs="Lora" w:eastAsia="Lora" w:hAnsi="Lora"/>
          <w:sz w:val="22"/>
          <w:szCs w:val="22"/>
          <w:rtl w:val="0"/>
        </w:rPr>
        <w:t xml:space="preserve">Focus tematico del convegno 30/06/2022 </w:t>
      </w:r>
    </w:p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65" w:lineRule="auto"/>
        <w:ind w:left="97" w:right="85" w:firstLine="0"/>
        <w:jc w:val="center"/>
        <w:rPr>
          <w:rFonts w:ascii="Lora" w:cs="Lora" w:eastAsia="Lora" w:hAnsi="Lora"/>
          <w:i w:val="1"/>
          <w:sz w:val="26"/>
          <w:szCs w:val="26"/>
        </w:rPr>
      </w:pPr>
      <w:bookmarkStart w:colFirst="0" w:colLast="0" w:name="_heading=h.aqyzpsaz6ayy" w:id="1"/>
      <w:bookmarkEnd w:id="1"/>
      <w:r w:rsidDel="00000000" w:rsidR="00000000" w:rsidRPr="00000000">
        <w:rPr>
          <w:rFonts w:ascii="Lora" w:cs="Lora" w:eastAsia="Lora" w:hAnsi="Lora"/>
          <w:i w:val="1"/>
          <w:sz w:val="26"/>
          <w:szCs w:val="26"/>
          <w:rtl w:val="0"/>
        </w:rPr>
        <w:t xml:space="preserve">“</w:t>
      </w:r>
      <w:r w:rsidDel="00000000" w:rsidR="00000000" w:rsidRPr="00000000">
        <w:rPr>
          <w:rFonts w:ascii="Lora" w:cs="Lora" w:eastAsia="Lora" w:hAnsi="Lora"/>
          <w:i w:val="1"/>
          <w:sz w:val="28"/>
          <w:szCs w:val="28"/>
          <w:highlight w:val="white"/>
          <w:rtl w:val="0"/>
        </w:rPr>
        <w:t xml:space="preserve">La necessità di coniugare analisi politica ed evoluzione tecnica. I saperi e la politica in una sinergia costituente per lo sviluppo rurale</w:t>
      </w:r>
      <w:r w:rsidDel="00000000" w:rsidR="00000000" w:rsidRPr="00000000">
        <w:rPr>
          <w:rFonts w:ascii="Lora" w:cs="Lora" w:eastAsia="Lora" w:hAnsi="Lora"/>
          <w:i w:val="1"/>
          <w:sz w:val="26"/>
          <w:szCs w:val="26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Lora" w:cs="Lora" w:eastAsia="Lora" w:hAnsi="Lora"/>
          <w:rtl w:val="0"/>
        </w:rPr>
        <w:t xml:space="preserve">l 30 giugno  il GAL Terre di Argil ha ospitato un interessantissimo convegno sul tema "La necessità di coniugare analisi politica ed evoluzione tecnica". I saperi e la politica in una sinergia costituente per lo sviluppo rurale.</w:t>
      </w:r>
    </w:p>
    <w:p w:rsidR="00000000" w:rsidDel="00000000" w:rsidP="00000000" w:rsidRDefault="00000000" w:rsidRPr="00000000" w14:paraId="0000000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Tale incontro, promosso dall'Associazione REV Green all'interno del progetto di informazione ed innovazione sociale </w:t>
      </w:r>
      <w:r w:rsidDel="00000000" w:rsidR="00000000" w:rsidRPr="00000000">
        <w:rPr>
          <w:rFonts w:ascii="Lora" w:cs="Lora" w:eastAsia="Lora" w:hAnsi="Lora"/>
          <w:rtl w:val="0"/>
        </w:rPr>
        <w:t xml:space="preserve">"Agrifood</w:t>
      </w:r>
      <w:r w:rsidDel="00000000" w:rsidR="00000000" w:rsidRPr="00000000">
        <w:rPr>
          <w:rFonts w:ascii="Lora" w:cs="Lora" w:eastAsia="Lora" w:hAnsi="Lora"/>
          <w:rtl w:val="0"/>
        </w:rPr>
        <w:t xml:space="preserve"> chain storytelling" (per maggiori info ed approfondimenti sul progetto, sugli appuntamenti realizzati e sui prossimi step si può consultare la sezione </w:t>
      </w:r>
      <w:r w:rsidDel="00000000" w:rsidR="00000000" w:rsidRPr="00000000">
        <w:rPr>
          <w:rFonts w:ascii="Lora" w:cs="Lora" w:eastAsia="Lora" w:hAnsi="Lora"/>
          <w:rtl w:val="0"/>
        </w:rPr>
        <w:t xml:space="preserve">SRAI</w:t>
      </w:r>
      <w:r w:rsidDel="00000000" w:rsidR="00000000" w:rsidRPr="00000000">
        <w:rPr>
          <w:rFonts w:ascii="Lora" w:cs="Lora" w:eastAsia="Lora" w:hAnsi="Lora"/>
          <w:rtl w:val="0"/>
        </w:rPr>
        <w:t xml:space="preserve"> - Spazi Rurali di Autoformazione ed Informazione - sul sito www.revgreen.it o visionare i contributi video sul canale tematico Youtube </w:t>
      </w:r>
      <w:r w:rsidDel="00000000" w:rsidR="00000000" w:rsidRPr="00000000">
        <w:rPr>
          <w:rFonts w:ascii="Lora" w:cs="Lora" w:eastAsia="Lora" w:hAnsi="Lora"/>
          <w:rtl w:val="0"/>
        </w:rPr>
        <w:t xml:space="preserve">Elpcoop)</w:t>
      </w:r>
      <w:r w:rsidDel="00000000" w:rsidR="00000000" w:rsidRPr="00000000">
        <w:rPr>
          <w:rFonts w:ascii="Lora" w:cs="Lora" w:eastAsia="Lora" w:hAnsi="Lora"/>
          <w:rtl w:val="0"/>
        </w:rPr>
        <w:t xml:space="preserve"> volto a rafforzare competenze, condividere visioni e dinamiche future sul territorio del GAL Terre di ARGIL; nell'ottica di un'innovazione sistemica, ibrida e cooperante tra dimensione economica e quella sociale, e delle stesse con i processo di governance.</w:t>
      </w:r>
    </w:p>
    <w:p w:rsidR="00000000" w:rsidDel="00000000" w:rsidP="00000000" w:rsidRDefault="00000000" w:rsidRPr="00000000" w14:paraId="00000008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Partendo da una prospettiva e da una precisa chiave di lettura: l'imprescindibile e costituente relazione tra paesaggio rurale e filiere agroalimentari ché lo disegnano.</w:t>
      </w:r>
    </w:p>
    <w:p w:rsidR="00000000" w:rsidDel="00000000" w:rsidP="00000000" w:rsidRDefault="00000000" w:rsidRPr="00000000" w14:paraId="00000009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Ed il relatore principale - il Professor Angelo Frascarelli, ordinario presso l'Università di Perugia e Presidente di ISMEA, nonché, soprattutto, tra i massimi esperti in materia di politiche agricole - ha rappresentato un estremo e formidabile valore aggiunto sia ai lavori del laboratorio del 30 giugno, sia all'intero processo di accumulazione, analisi ed informazione del progetto </w:t>
      </w:r>
      <w:r w:rsidDel="00000000" w:rsidR="00000000" w:rsidRPr="00000000">
        <w:rPr>
          <w:rFonts w:ascii="Lora" w:cs="Lora" w:eastAsia="Lora" w:hAnsi="Lora"/>
          <w:rtl w:val="0"/>
        </w:rPr>
        <w:t xml:space="preserve">"Agrifood</w:t>
      </w:r>
      <w:r w:rsidDel="00000000" w:rsidR="00000000" w:rsidRPr="00000000">
        <w:rPr>
          <w:rFonts w:ascii="Lora" w:cs="Lora" w:eastAsia="Lora" w:hAnsi="Lora"/>
          <w:rtl w:val="0"/>
        </w:rPr>
        <w:t xml:space="preserve"> chain storytelling".</w:t>
      </w:r>
    </w:p>
    <w:p w:rsidR="00000000" w:rsidDel="00000000" w:rsidP="00000000" w:rsidRDefault="00000000" w:rsidRPr="00000000" w14:paraId="0000000A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Un contributo che - come anticipato nella relazione introduttiva al convegno, anche questa visionabile sul sito www.revgreen.it - ha avuto la fondamentale capacità ed importanza di articolare ed affrontare il tema dello sviluppo economico, del paesaggio rurale e del futuro delle nostre </w:t>
      </w:r>
      <w:r w:rsidDel="00000000" w:rsidR="00000000" w:rsidRPr="00000000">
        <w:rPr>
          <w:rFonts w:ascii="Lora" w:cs="Lora" w:eastAsia="Lora" w:hAnsi="Lora"/>
          <w:rtl w:val="0"/>
        </w:rPr>
        <w:t xml:space="preserve">agricolture,</w:t>
      </w:r>
      <w:r w:rsidDel="00000000" w:rsidR="00000000" w:rsidRPr="00000000">
        <w:rPr>
          <w:rFonts w:ascii="Lora" w:cs="Lora" w:eastAsia="Lora" w:hAnsi="Lora"/>
          <w:rtl w:val="0"/>
        </w:rPr>
        <w:t xml:space="preserve"> partendo da una prospettiva </w:t>
      </w:r>
      <w:r w:rsidDel="00000000" w:rsidR="00000000" w:rsidRPr="00000000">
        <w:rPr>
          <w:rFonts w:ascii="Lora" w:cs="Lora" w:eastAsia="Lora" w:hAnsi="Lora"/>
          <w:rtl w:val="0"/>
        </w:rPr>
        <w:t xml:space="preserve">dall'immanente</w:t>
      </w:r>
      <w:r w:rsidDel="00000000" w:rsidR="00000000" w:rsidRPr="00000000">
        <w:rPr>
          <w:rFonts w:ascii="Lora" w:cs="Lora" w:eastAsia="Lora" w:hAnsi="Lora"/>
          <w:rtl w:val="0"/>
        </w:rPr>
        <w:t xml:space="preserve"> punto di vista "strutturale". Ponendo al centro la dimensione economica, produttiva attraverso un ragionamento che si è sviluppato evidenziando il ruolo centrale delle filiere ma, contestualmente, descrivendo come il comparto primario è sia pivot che infrastruttura della dimensione rurale.</w:t>
      </w:r>
    </w:p>
    <w:p w:rsidR="00000000" w:rsidDel="00000000" w:rsidP="00000000" w:rsidRDefault="00000000" w:rsidRPr="00000000" w14:paraId="0000000B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Un comparto che deve puntare all'innovazione sociale e tecnologica, alla sostenibilità, a percepirsi ed essere percepito come architrave tracimante, inter-connettiva e reciprocamente valorizzante per gli altri comparti e per il sistema rurale.</w:t>
      </w:r>
    </w:p>
    <w:p w:rsidR="00000000" w:rsidDel="00000000" w:rsidP="00000000" w:rsidRDefault="00000000" w:rsidRPr="00000000" w14:paraId="0000000C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Altro aspetto emerso con forza e che ha rappresentato uno dei principali momenti di confronto, analisi e partecipazione - chiaramente anche in considerazione della location e del fondamentale contributo della struttura tecnica e del DT, sia in termini di supporto e partecipazione attiva al convegno, sia nel continuativo lavoro di coordinamento e confronto offerto al progetto </w:t>
      </w:r>
      <w:r w:rsidDel="00000000" w:rsidR="00000000" w:rsidRPr="00000000">
        <w:rPr>
          <w:rFonts w:ascii="Lora" w:cs="Lora" w:eastAsia="Lora" w:hAnsi="Lora"/>
          <w:rtl w:val="0"/>
        </w:rPr>
        <w:t xml:space="preserve">"Agrifood</w:t>
      </w:r>
      <w:r w:rsidDel="00000000" w:rsidR="00000000" w:rsidRPr="00000000">
        <w:rPr>
          <w:rFonts w:ascii="Lora" w:cs="Lora" w:eastAsia="Lora" w:hAnsi="Lora"/>
          <w:rtl w:val="0"/>
        </w:rPr>
        <w:t xml:space="preserve"> chain storytelling" - ha riguardato lo sviluppo rurale ed il LEADER.</w:t>
      </w:r>
    </w:p>
    <w:p w:rsidR="00000000" w:rsidDel="00000000" w:rsidP="00000000" w:rsidRDefault="00000000" w:rsidRPr="00000000" w14:paraId="0000000E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In questo ambito la lettura ed il contributo del Professor Frascarelli è stato, oltreché di enorme spessore ed impatto, davvero innovativo, di prospettiva e "calato sulle problematiche ed i nodi che limitano uno strumento dalle enormi potenzialità (e probabilmente </w:t>
      </w:r>
      <w:r w:rsidDel="00000000" w:rsidR="00000000" w:rsidRPr="00000000">
        <w:rPr>
          <w:rFonts w:ascii="Lora" w:cs="Lora" w:eastAsia="Lora" w:hAnsi="Lora"/>
          <w:rtl w:val="0"/>
        </w:rPr>
        <w:t xml:space="preserve">quantomai</w:t>
      </w:r>
      <w:r w:rsidDel="00000000" w:rsidR="00000000" w:rsidRPr="00000000">
        <w:rPr>
          <w:rFonts w:ascii="Lora" w:cs="Lora" w:eastAsia="Lora" w:hAnsi="Lora"/>
          <w:rtl w:val="0"/>
        </w:rPr>
        <w:t xml:space="preserve"> necessario in una filiera </w:t>
      </w:r>
      <w:r w:rsidDel="00000000" w:rsidR="00000000" w:rsidRPr="00000000">
        <w:rPr>
          <w:rFonts w:ascii="Lora" w:cs="Lora" w:eastAsia="Lora" w:hAnsi="Lora"/>
          <w:rtl w:val="0"/>
        </w:rPr>
        <w:t xml:space="preserve">multigovernance</w:t>
      </w:r>
      <w:r w:rsidDel="00000000" w:rsidR="00000000" w:rsidRPr="00000000">
        <w:rPr>
          <w:rFonts w:ascii="Lora" w:cs="Lora" w:eastAsia="Lora" w:hAnsi="Lora"/>
          <w:rtl w:val="0"/>
        </w:rPr>
        <w:t xml:space="preserve"> che paga evidentemente il vuoto del livello istituzionale delle province e la contestuale mancanza di meso-istituzioni in grado di fare da cinghia di trasmissione tra le individualità locali e la Regione) ma in alcuni contesti - sicuramente nel Lazio - estremante depauperati e spesso con il ruolo e la funzione di appendici al PSR: i Gruppi di Azione Locale.</w:t>
      </w:r>
    </w:p>
    <w:p w:rsidR="00000000" w:rsidDel="00000000" w:rsidP="00000000" w:rsidRDefault="00000000" w:rsidRPr="00000000" w14:paraId="0000000F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La lettura del Professor Frascarelli - profondo conoscitore delle dinamiche, delle risorse e dei limiti della nostra dimensione agro-rurale - si può riassumere nella necessità di dare a tali strumenti reale forza e condizioni per praticare e sviluppare una reale e partecipata strategia bottom up. </w:t>
      </w:r>
    </w:p>
    <w:p w:rsidR="00000000" w:rsidDel="00000000" w:rsidP="00000000" w:rsidRDefault="00000000" w:rsidRPr="00000000" w14:paraId="00000010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Per fare questo, evidentemente, è necessario che i vincoli, le procedure, i meccanismi di gestione e di controllo - </w:t>
      </w:r>
      <w:r w:rsidDel="00000000" w:rsidR="00000000" w:rsidRPr="00000000">
        <w:rPr>
          <w:rFonts w:ascii="Lora" w:cs="Lora" w:eastAsia="Lora" w:hAnsi="Lora"/>
          <w:rtl w:val="0"/>
        </w:rPr>
        <w:t xml:space="preserve">quantomai</w:t>
      </w:r>
      <w:r w:rsidDel="00000000" w:rsidR="00000000" w:rsidRPr="00000000">
        <w:rPr>
          <w:rFonts w:ascii="Lora" w:cs="Lora" w:eastAsia="Lora" w:hAnsi="Lora"/>
          <w:rtl w:val="0"/>
        </w:rPr>
        <w:t xml:space="preserve"> importanti e necessari - non costituiscano la chiave interpretativa e di sviluppo delle attività; pertanto gli stessi devono essere immaginati ed estremamente funzionali a valle del processo e non, come spesso accade a monte.</w:t>
      </w:r>
    </w:p>
    <w:p w:rsidR="00000000" w:rsidDel="00000000" w:rsidP="00000000" w:rsidRDefault="00000000" w:rsidRPr="00000000" w14:paraId="00000011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E' fondamentale che i GAL abbiano la forza e gli strumenti per elaborare, coordinare e condurre direttamente step e procedure di intervento e di realizzazione del Piano di Sviluppo Locale.</w:t>
      </w:r>
    </w:p>
    <w:p w:rsidR="00000000" w:rsidDel="00000000" w:rsidP="00000000" w:rsidRDefault="00000000" w:rsidRPr="00000000" w14:paraId="00000012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Maggiore libertà di azione e ruolo propulsore permettono di dare espressione alle energie, al sentire, ai punti di forza ed alla partecipazione dei territori e degli attori che lo costituiscono la standardizzazione dei processi.</w:t>
      </w:r>
    </w:p>
    <w:p w:rsidR="00000000" w:rsidDel="00000000" w:rsidP="00000000" w:rsidRDefault="00000000" w:rsidRPr="00000000" w14:paraId="00000013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Al livello regionale si richiede la capacità ed il ruolo di indirizzo, di monitoraggio e di filtro non della fase di sviluppo ma sulla reale e congrua realizzazione di quanto progettato.</w:t>
      </w:r>
    </w:p>
    <w:p w:rsidR="00000000" w:rsidDel="00000000" w:rsidP="00000000" w:rsidRDefault="00000000" w:rsidRPr="00000000" w14:paraId="00000014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Il LEADER ed il bottom up non possono trovare vero spazio in una dinamica ed in una logica di semplificazione, omologazione e "ripetizione coatta" di bandi e processi speculari per ciascun territorio.</w:t>
      </w:r>
    </w:p>
    <w:p w:rsidR="00000000" w:rsidDel="00000000" w:rsidP="00000000" w:rsidRDefault="00000000" w:rsidRPr="00000000" w14:paraId="00000015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In realtà quanto appena riportato è la vera ratio e la logica alla base del LEADER e dello sviluppo rurale. La pratica è divenuta altro, ma l'evoluzione, la funzione e la mission di tale strumento è ben chiara nelle norme, nelle scelte politiche di Bruxelles, nella storia e nell'evoluzione delle stesse. </w:t>
      </w:r>
    </w:p>
    <w:p w:rsidR="00000000" w:rsidDel="00000000" w:rsidP="00000000" w:rsidRDefault="00000000" w:rsidRPr="00000000" w14:paraId="0000001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L'evoluzione dell'economia rurale e dell'agricoltura negli ultimi decenni ha portato ad una situazione relativamente sconosciuta fino ad oggi, in cui suscitare nuove esigenze e approcci inediti nelle strategie e nei modelli di sviluppo rurale e gli stessi spazi rurali. I cambiamenti più importanti che hanno sperimentato dall’agricoltura e dalle società rurali negli ultimi decenni sono conseguenza delle politiche applicate all’epoca per contribuire a risolvere il problema problemi agricoli tradizionali.</w:t>
      </w:r>
    </w:p>
    <w:p w:rsidR="00000000" w:rsidDel="00000000" w:rsidP="00000000" w:rsidRDefault="00000000" w:rsidRPr="00000000" w14:paraId="0000001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Tali cambiamenti sono stati: il collasso dell’agricoltura tradizionale e l’ascesa dell’agricoltura  industriale, un calo molto marcato della popolazione agricola attiva e popolazione che vive nelle zone rurali, un aumento dell’uso dei mezzi tecnici (macchinari, fertilizzanti, prodotti fitosanitari, sementi e razze zootecniche selezionate) che hanno aumentato la produttività della terra e del lavoro, la liberalizzazione e l’internazionalizzazione dei mercati agroalimentari, nonché l’incremento del valore aggiunta di prodotti agricoli attraverso processi di industrializzazione e trasformazione; una crescente specializzazione delle diverse aree geografiche, sfruttare meglio i vantaggi comparativi delle caratteristiche agroclimatiche e situazione di ciascuno di essi, un aumento degli investimenti in miglioramenti strutturali delle aziende agricole e, come culmine di tutto ciò, una situazione ricorrente di produzioni in eccedenza (Lacambra, 2001). </w:t>
      </w:r>
    </w:p>
    <w:p w:rsidR="00000000" w:rsidDel="00000000" w:rsidP="00000000" w:rsidRDefault="00000000" w:rsidRPr="00000000" w14:paraId="00000018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L'apprezzamento del locale, acquisisce sia una nuova dimensione oggi, che si coniuga con lo sviluppo sostenibile su scala globale </w:t>
      </w:r>
      <w:r w:rsidDel="00000000" w:rsidR="00000000" w:rsidRPr="00000000">
        <w:rPr>
          <w:rFonts w:ascii="Lora" w:cs="Lora" w:eastAsia="Lora" w:hAnsi="Lora"/>
          <w:rtl w:val="0"/>
        </w:rPr>
        <w:t xml:space="preserve">(Bahadillo,</w:t>
      </w:r>
      <w:r w:rsidDel="00000000" w:rsidR="00000000" w:rsidRPr="00000000">
        <w:rPr>
          <w:rFonts w:ascii="Lora" w:cs="Lora" w:eastAsia="Lora" w:hAnsi="Lora"/>
          <w:rtl w:val="0"/>
        </w:rPr>
        <w:t xml:space="preserve"> 2005; Allende, 1995; Ortega, 1998 citato da Lacambra, 2001).</w:t>
      </w:r>
    </w:p>
    <w:p w:rsidR="00000000" w:rsidDel="00000000" w:rsidP="00000000" w:rsidRDefault="00000000" w:rsidRPr="00000000" w14:paraId="00000019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Sensibilizzare le amministrazioni a farlo solo attraverso politiche di sicurezza sviluppo regionale e locale è possibile utilizzare in modo efficace le risorse esistenti nel territorio.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Mostrare alle amministrazioni che le organizzazioni intermediarie, in generale, e </w:t>
      </w:r>
      <w:r w:rsidDel="00000000" w:rsidR="00000000" w:rsidRPr="00000000">
        <w:rPr>
          <w:rFonts w:ascii="Lora" w:cs="Lora" w:eastAsia="Lora" w:hAnsi="Lora"/>
          <w:rtl w:val="0"/>
        </w:rPr>
        <w:t xml:space="preserve">l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agenzie di sviluppo locale, in particolare, rappresentano lo strumento più </w:t>
      </w:r>
      <w:r w:rsidDel="00000000" w:rsidR="00000000" w:rsidRPr="00000000">
        <w:rPr>
          <w:rFonts w:ascii="Lora" w:cs="Lora" w:eastAsia="Lora" w:hAnsi="Lora"/>
          <w:rtl w:val="0"/>
        </w:rPr>
        <w:t xml:space="preserve">idoneo per attuare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politiche di sviluppo regionale e locale.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ora" w:cs="Lora" w:eastAsia="Lora" w:hAnsi="Lo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Rappresentare gli enti associati davanti alle pubbliche amministrazioni e organizzazioni internazionali che in qualche modo sono coinvolte nello sviluppo regionale e locale.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ora" w:cs="Lora" w:eastAsia="Lora" w:hAnsi="Lo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Facilitare lo scambio tra gli associati di informazioni su metodologie ed esperienze di intervento nel campo dello sviluppo regionale e locale, </w:t>
      </w:r>
      <w:r w:rsidDel="00000000" w:rsidR="00000000" w:rsidRPr="00000000">
        <w:rPr>
          <w:rFonts w:ascii="Lora" w:cs="Lora" w:eastAsia="Lora" w:hAnsi="Lora"/>
          <w:rtl w:val="0"/>
        </w:rPr>
        <w:t xml:space="preserve">entrambe di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provenienza nazionale ed internazionale.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ora" w:cs="Lora" w:eastAsia="Lora" w:hAnsi="Lo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Fungere da centro tecnico e di consulenza per la progettazione e l'esecuzione di progetti di costruzione per lo sviluppo regionale e locale.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Lora" w:cs="Lora" w:eastAsia="Lora" w:hAnsi="Lor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Questo nuovo modello di sviluppo si è manifestato come la panacea per i politici, ricercatori e tecnocrati che hanno portato alla partecipazione di una varietà di cambiamenti e trasformazioni nel contesto delle regioni europee, associati al alti e bassi dell'economia e la </w:t>
      </w:r>
    </w:p>
    <w:p w:rsidR="00000000" w:rsidDel="00000000" w:rsidP="00000000" w:rsidRDefault="00000000" w:rsidRPr="00000000" w14:paraId="00000023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Lora" w:cs="Lora" w:eastAsia="Lora" w:hAnsi="Lor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proposta di ristrutturazione economica che offriva un nuovo quadro di analisi e di lavoro per lo Stato, gli enti locali e movimenti sociali. </w:t>
      </w:r>
    </w:p>
    <w:p w:rsidR="00000000" w:rsidDel="00000000" w:rsidP="00000000" w:rsidRDefault="00000000" w:rsidRPr="00000000" w14:paraId="0000002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Ecco come nasce l’equilibrio top-down/bottom-up.</w:t>
      </w:r>
    </w:p>
    <w:p w:rsidR="00000000" w:rsidDel="00000000" w:rsidP="00000000" w:rsidRDefault="00000000" w:rsidRPr="00000000" w14:paraId="0000002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 per capire come i GAL possano funzionare ed avere ruolo è fondamentale ricordare ed inquadrare i 4 aspetti alla base del LEADER, che troppo spesso vengono dimenticati o addirittura sono ignorati: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uso di nuove conoscenze e tecnologie;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Lora" w:cs="Lora" w:eastAsia="Lora" w:hAnsi="Lo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miglioramento della qualità della vita;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Lora" w:cs="Lora" w:eastAsia="Lora" w:hAnsi="Lor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ora" w:cs="Lora" w:eastAsia="Lora" w:hAnsi="Lora"/>
        </w:rPr>
      </w:pPr>
      <w:bookmarkStart w:colFirst="0" w:colLast="0" w:name="_heading=h.gjdgxs" w:id="2"/>
      <w:bookmarkEnd w:id="2"/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valorizzazione dei prodotti locali e valorizzazione </w:t>
      </w:r>
      <w:r w:rsidDel="00000000" w:rsidR="00000000" w:rsidRPr="00000000">
        <w:rPr>
          <w:rFonts w:ascii="Lora" w:cs="Lora" w:eastAsia="Lora" w:hAnsi="Lora"/>
          <w:rtl w:val="0"/>
        </w:rPr>
        <w:t xml:space="preserve">delle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risorse naturali e culturali;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Lora" w:cs="Lora" w:eastAsia="Lora" w:hAnsi="Lora"/>
          <w:sz w:val="10"/>
          <w:szCs w:val="10"/>
        </w:rPr>
      </w:pPr>
      <w:bookmarkStart w:colFirst="0" w:colLast="0" w:name="_heading=h.h5poictpd9e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carattere sperimentale ed innovativo; da praticare attraverso i partenariati pubblico-privati; sviluppo di progettualità e sinergie interterritoriali e transnazionali.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Courier New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>
        <w:rFonts w:ascii="Trebuchet MS" w:cs="Trebuchet MS" w:eastAsia="Trebuchet MS" w:hAnsi="Trebuchet MS"/>
        <w:rtl w:val="0"/>
      </w:rPr>
      <w:t xml:space="preserve">REV GREEN Associazione no Profit - C.F. 92089860602 Via Borgo Cave, 73 – 03020 ARNARA (FR)                    pec: revgreen@pec.it - e-mail: associazionerevgreen@gmail.com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-371474</wp:posOffset>
          </wp:positionH>
          <wp:positionV relativeFrom="paragraph">
            <wp:posOffset>-161924</wp:posOffset>
          </wp:positionV>
          <wp:extent cx="3037523" cy="373466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423" l="1437" r="1223" t="9244"/>
                  <a:stretch>
                    <a:fillRect/>
                  </a:stretch>
                </pic:blipFill>
                <pic:spPr>
                  <a:xfrm>
                    <a:off x="0" y="0"/>
                    <a:ext cx="3037523" cy="37346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5495925</wp:posOffset>
          </wp:positionH>
          <wp:positionV relativeFrom="paragraph">
            <wp:posOffset>-333374</wp:posOffset>
          </wp:positionV>
          <wp:extent cx="1105853" cy="71090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5853" cy="710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1359B"/>
    <w:rPr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355A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CwbUxEFIjDuW/JSYYZ2eVRI5g==">CgMxLjAyDWgudXdra3Z6M3cxaXcyDmguYXF5enBzYXo2YXl5MghoLmdqZGd4czIOaC5oNXBvaWN0cGQ5ZTA4AHIhMXhza1NTU2ljeDJIWW94eS1CVU8tWWduN2wtc2o4djFO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2024-10-29T12:02:00Z</dcterms:created>
  <dc:creator>Chiara Lucia Guarino</dc:creator>
</cp:coreProperties>
</file>