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ora" w:cs="Lora" w:eastAsia="Lora" w:hAnsi="Lora"/>
          <w:i w:val="1"/>
          <w:sz w:val="22"/>
          <w:szCs w:val="22"/>
        </w:rPr>
      </w:pPr>
      <w:bookmarkStart w:colFirst="0" w:colLast="0" w:name="_heading=h.uwkkvz3w1iw" w:id="0"/>
      <w:bookmarkEnd w:id="0"/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Agrifood</w:t>
      </w:r>
      <w:r w:rsidDel="00000000" w:rsidR="00000000" w:rsidRPr="00000000">
        <w:rPr>
          <w:rFonts w:ascii="Lora" w:cs="Lora" w:eastAsia="Lora" w:hAnsi="Lora"/>
          <w:sz w:val="30"/>
          <w:szCs w:val="30"/>
          <w:rtl w:val="0"/>
        </w:rPr>
        <w:t xml:space="preserve"> Chain Storytelling</w:t>
      </w:r>
      <w:r w:rsidDel="00000000" w:rsidR="00000000" w:rsidRPr="00000000">
        <w:rPr>
          <w:rFonts w:ascii="Lora" w:cs="Lora" w:eastAsia="Lora" w:hAnsi="Lora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Lora" w:cs="Lora" w:eastAsia="Lora" w:hAnsi="Lora"/>
          <w:i w:val="1"/>
          <w:sz w:val="22"/>
          <w:szCs w:val="22"/>
          <w:rtl w:val="0"/>
        </w:rPr>
        <w:t xml:space="preserve">Op.19.2.1 1.2.1 “Attività dimostrative e azioni di informazione” GAL Terre di Argil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before="0" w:lineRule="auto"/>
        <w:ind w:left="97" w:right="85" w:firstLine="0"/>
        <w:jc w:val="center"/>
        <w:rPr>
          <w:rFonts w:ascii="Lora" w:cs="Lora" w:eastAsia="Lora" w:hAnsi="Lora"/>
          <w:sz w:val="22"/>
          <w:szCs w:val="22"/>
        </w:rPr>
      </w:pP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Report</w:t>
      </w:r>
      <w:r w:rsidDel="00000000" w:rsidR="00000000" w:rsidRPr="00000000">
        <w:rPr>
          <w:rFonts w:ascii="Lora" w:cs="Lora" w:eastAsia="Lora" w:hAnsi="Lora"/>
          <w:sz w:val="22"/>
          <w:szCs w:val="22"/>
          <w:rtl w:val="0"/>
        </w:rPr>
        <w:t xml:space="preserve"> del seminario 29/06/2022 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widowControl w:val="0"/>
        <w:spacing w:after="0" w:before="65" w:lineRule="auto"/>
        <w:ind w:left="97" w:right="85" w:firstLine="0"/>
        <w:jc w:val="center"/>
        <w:rPr>
          <w:rFonts w:ascii="Lora" w:cs="Lora" w:eastAsia="Lora" w:hAnsi="Lora"/>
          <w:i w:val="1"/>
          <w:sz w:val="26"/>
          <w:szCs w:val="26"/>
        </w:rPr>
      </w:pPr>
      <w:bookmarkStart w:colFirst="0" w:colLast="0" w:name="_heading=h.sl5tm4i8r4ax" w:id="1"/>
      <w:bookmarkEnd w:id="1"/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“</w:t>
      </w:r>
      <w:r w:rsidDel="00000000" w:rsidR="00000000" w:rsidRPr="00000000">
        <w:rPr>
          <w:rFonts w:ascii="Lora" w:cs="Lora" w:eastAsia="Lora" w:hAnsi="Lora"/>
          <w:i w:val="1"/>
          <w:sz w:val="28"/>
          <w:szCs w:val="28"/>
          <w:rtl w:val="0"/>
        </w:rPr>
        <w:t xml:space="preserve">Una necessaria lettura globale per affrontare le sfide locali. L’identità non è perimetro ma relazione. Forme di relazione e forme di produzione che costituiscono la dimensione rurale</w:t>
      </w:r>
      <w:r w:rsidDel="00000000" w:rsidR="00000000" w:rsidRPr="00000000">
        <w:rPr>
          <w:rFonts w:ascii="Lora" w:cs="Lora" w:eastAsia="Lora" w:hAnsi="Lora"/>
          <w:i w:val="1"/>
          <w:sz w:val="26"/>
          <w:szCs w:val="26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seminario del 29 giugno ha rappresentato un interessantissimo momento di analisi, confronto e informazione su dinamiche, processi e temi di innovazione sociale ed innovazione sistemica nella dimensione rurale. </w:t>
      </w:r>
    </w:p>
    <w:p w:rsidR="00000000" w:rsidDel="00000000" w:rsidP="00000000" w:rsidRDefault="00000000" w:rsidRPr="00000000" w14:paraId="00000007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L'appuntamento - ottavo incontro dei 14 previsti nel progetto di informazione "Agrifood chain storytelling" promosso dall'Associazione REV Green  - ha affrontato un tema </w:t>
      </w:r>
      <w:r w:rsidDel="00000000" w:rsidR="00000000" w:rsidRPr="00000000">
        <w:rPr>
          <w:rFonts w:ascii="Lora" w:cs="Lora" w:eastAsia="Lora" w:hAnsi="Lora"/>
          <w:rtl w:val="0"/>
        </w:rPr>
        <w:t xml:space="preserve">quantomai</w:t>
      </w:r>
      <w:r w:rsidDel="00000000" w:rsidR="00000000" w:rsidRPr="00000000">
        <w:rPr>
          <w:rFonts w:ascii="Lora" w:cs="Lora" w:eastAsia="Lora" w:hAnsi="Lora"/>
          <w:rtl w:val="0"/>
        </w:rPr>
        <w:t xml:space="preserve"> interessante e foriero, potenzialmente, di forte impatto per il sistema rurale del GAL Terre di Argil e del Lazio meridionale: i commons, ossia risorse fisiche e intangibili di ogni sorta; anche se è più corretto definirli come paradigmi che combinano una comunità distinta con un insieme di pratiche, valori e regole sociali utilizzati per gestire una risorsa. In altri termini, un commons è una risorsa più una comunità più un insieme di protocolli sociali.</w:t>
      </w:r>
    </w:p>
    <w:p w:rsidR="00000000" w:rsidDel="00000000" w:rsidP="00000000" w:rsidRDefault="00000000" w:rsidRPr="00000000" w14:paraId="00000008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Tali strumenti/processi rappresentano - come brillantemente illustrato dal principale relatore della giornata, il Professor Massimo De Angelis dell'East London University - che cogliamo l'occasione per ringraziare sentitamente data l'enorme disponibilità e l'incommensurabile apporto dato non solo al seminario del 29 giugno ma all'intero processo </w:t>
      </w:r>
      <w:r w:rsidDel="00000000" w:rsidR="00000000" w:rsidRPr="00000000">
        <w:rPr>
          <w:rFonts w:ascii="Lora" w:cs="Lora" w:eastAsia="Lora" w:hAnsi="Lora"/>
          <w:rtl w:val="0"/>
        </w:rPr>
        <w:t xml:space="preserve">"Agrifood</w:t>
      </w:r>
      <w:r w:rsidDel="00000000" w:rsidR="00000000" w:rsidRPr="00000000">
        <w:rPr>
          <w:rFonts w:ascii="Lora" w:cs="Lora" w:eastAsia="Lora" w:hAnsi="Lora"/>
          <w:rtl w:val="0"/>
        </w:rPr>
        <w:t xml:space="preserve"> chain storytelling" - una formidabile opportunità -da intendere, declinare e praticare in termini di strumenti, beni, processi ed organizzazione - per rafforzare il tessuto socio-economico del GAL Terre di Argil; innescando e strutturando la necessaria infrastruttura...che non può prescindere da un forte livello di ibridazione.</w:t>
      </w:r>
    </w:p>
    <w:p w:rsidR="00000000" w:rsidDel="00000000" w:rsidP="00000000" w:rsidRDefault="00000000" w:rsidRPr="00000000" w14:paraId="00000009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 come interstizio e spazio (fisico ed procedurale, terreno e regolamento, uso civico e sistema dei saperi) sul quale ed attraverso cui declinare la necessaria sinergia - ed il funzionale/correlato investimento pubblico-privato atto a generare nuove opportunità di reddito, legittimare innovative forme di socialità, garantire  e sedimentare sistemi di welfare e servizi.</w:t>
      </w:r>
    </w:p>
    <w:p w:rsidR="00000000" w:rsidDel="00000000" w:rsidP="00000000" w:rsidRDefault="00000000" w:rsidRPr="00000000" w14:paraId="0000000A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Possiamo asserire - ed a conferma e supporto di tale affermazione, nonché per approfondire e studiare i temi trattati, risultano utili i contributi (relazioni, paper, video report) consultabili </w:t>
      </w:r>
      <w:r w:rsidDel="00000000" w:rsidR="00000000" w:rsidRPr="00000000">
        <w:rPr>
          <w:rFonts w:ascii="Lora" w:cs="Lora" w:eastAsia="Lora" w:hAnsi="Lora"/>
          <w:rtl w:val="0"/>
        </w:rPr>
        <w:t xml:space="preserve">sulla</w:t>
      </w:r>
      <w:r w:rsidDel="00000000" w:rsidR="00000000" w:rsidRPr="00000000">
        <w:rPr>
          <w:rFonts w:ascii="Lora" w:cs="Lora" w:eastAsia="Lora" w:hAnsi="Lora"/>
          <w:rtl w:val="0"/>
        </w:rPr>
        <w:t xml:space="preserve"> sezione </w:t>
      </w:r>
      <w:r w:rsidDel="00000000" w:rsidR="00000000" w:rsidRPr="00000000">
        <w:rPr>
          <w:rFonts w:ascii="Lora" w:cs="Lora" w:eastAsia="Lora" w:hAnsi="Lora"/>
          <w:rtl w:val="0"/>
        </w:rPr>
        <w:t xml:space="preserve">SRAI,</w:t>
      </w:r>
      <w:r w:rsidDel="00000000" w:rsidR="00000000" w:rsidRPr="00000000">
        <w:rPr>
          <w:rFonts w:ascii="Lora" w:cs="Lora" w:eastAsia="Lora" w:hAnsi="Lora"/>
          <w:rtl w:val="0"/>
        </w:rPr>
        <w:t xml:space="preserve"> Spazi Rurali di Autoformazione ed Informazione, del sito www.revgreen.it e/o del canale tematico Youtube </w:t>
      </w:r>
      <w:r w:rsidDel="00000000" w:rsidR="00000000" w:rsidRPr="00000000">
        <w:rPr>
          <w:rFonts w:ascii="Lora" w:cs="Lora" w:eastAsia="Lora" w:hAnsi="Lora"/>
          <w:rtl w:val="0"/>
        </w:rPr>
        <w:t xml:space="preserve">Elpcoop</w:t>
      </w:r>
      <w:r w:rsidDel="00000000" w:rsidR="00000000" w:rsidRPr="00000000">
        <w:rPr>
          <w:rFonts w:ascii="Lora" w:cs="Lora" w:eastAsia="Lora" w:hAnsi="Lora"/>
          <w:rtl w:val="0"/>
        </w:rPr>
        <w:t xml:space="preserve"> - che i commons rappresentano una formidabile e </w:t>
      </w:r>
      <w:r w:rsidDel="00000000" w:rsidR="00000000" w:rsidRPr="00000000">
        <w:rPr>
          <w:rFonts w:ascii="Lora" w:cs="Lora" w:eastAsia="Lora" w:hAnsi="Lora"/>
          <w:rtl w:val="0"/>
        </w:rPr>
        <w:t xml:space="preserve">quantomai</w:t>
      </w:r>
      <w:r w:rsidDel="00000000" w:rsidR="00000000" w:rsidRPr="00000000">
        <w:rPr>
          <w:rFonts w:ascii="Lora" w:cs="Lora" w:eastAsia="Lora" w:hAnsi="Lora"/>
          <w:rtl w:val="0"/>
        </w:rPr>
        <w:t xml:space="preserve"> funzionale  dimensione attraverso cui arare, seminare ed innaffiare i percorsi e le dinamiche - necessariamente cooperanti, ibridi e caratterizzati da una tuned up multilevel governance - di sviluppo rurale.</w:t>
      </w:r>
    </w:p>
    <w:p w:rsidR="00000000" w:rsidDel="00000000" w:rsidP="00000000" w:rsidRDefault="00000000" w:rsidRPr="00000000" w14:paraId="0000000B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GAL Terre di Argil, il Lazio meridionale, i contesti rurali indagati necessitano di nuovi strumenti per </w:t>
      </w:r>
      <w:r w:rsidDel="00000000" w:rsidR="00000000" w:rsidRPr="00000000">
        <w:rPr>
          <w:rFonts w:ascii="Lora" w:cs="Lora" w:eastAsia="Lora" w:hAnsi="Lora"/>
          <w:rtl w:val="0"/>
        </w:rPr>
        <w:t xml:space="preserve">ridefinire,</w:t>
      </w:r>
      <w:r w:rsidDel="00000000" w:rsidR="00000000" w:rsidRPr="00000000">
        <w:rPr>
          <w:rFonts w:ascii="Lora" w:cs="Lora" w:eastAsia="Lora" w:hAnsi="Lora"/>
          <w:rtl w:val="0"/>
        </w:rPr>
        <w:t xml:space="preserve"> gestire e rigenerare i Beni comuni rurali, le risorse, gli habitat fisici e umani, inclusi gli altri esseri viventi (Brave New Alps, 2019), in un’ottica più sensibile rispetto all’interdipendenza tra sistemi sociali ed ecologici. </w:t>
      </w:r>
    </w:p>
    <w:p w:rsidR="00000000" w:rsidDel="00000000" w:rsidP="00000000" w:rsidRDefault="00000000" w:rsidRPr="00000000" w14:paraId="0000000C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commons, infatti, hanno molte definizioni </w:t>
      </w:r>
      <w:r w:rsidDel="00000000" w:rsidR="00000000" w:rsidRPr="00000000">
        <w:rPr>
          <w:rFonts w:ascii="Lora" w:cs="Lora" w:eastAsia="Lora" w:hAnsi="Lora"/>
          <w:rtl w:val="0"/>
        </w:rPr>
        <w:t xml:space="preserve">che il seminario</w:t>
      </w:r>
      <w:r w:rsidDel="00000000" w:rsidR="00000000" w:rsidRPr="00000000">
        <w:rPr>
          <w:rFonts w:ascii="Lora" w:cs="Lora" w:eastAsia="Lora" w:hAnsi="Lora"/>
          <w:rtl w:val="0"/>
        </w:rPr>
        <w:t xml:space="preserve"> del 29 giugno, dal tema "Una necessaria lettura globale per affrontare le sfide locali. L’identità non è perimetro ma relazione. Forme di relazione e forme di produzione che costituiscono la dimensione rurale" ha analizzato, approfondito, indagato.</w:t>
      </w:r>
    </w:p>
    <w:p w:rsidR="00000000" w:rsidDel="00000000" w:rsidP="00000000" w:rsidRDefault="00000000" w:rsidRPr="00000000" w14:paraId="0000000D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commons rurali sono quindi quelle pratiche, attività, progetti, sistemi, strategie collettive di cura, rivitalizzazione, valorizzazione del territorio e delle sue risorse, ritenute importanti da una comunità di persone. </w:t>
      </w:r>
    </w:p>
    <w:p w:rsidR="00000000" w:rsidDel="00000000" w:rsidP="00000000" w:rsidRDefault="00000000" w:rsidRPr="00000000" w14:paraId="0000000E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Tre sono gli elementi fondamentali dei commons rurali: la comunità di persone che riconosce come importante la presenza di beni comuni materiali e immateriali (quali elementi, beni, risorse, bisogni, idee, spazi), che vanno curati collettivamente attraverso azioni e accordi di commoning ovvero regole e responsabilità che la comunità si dà per gestire collettivamente il bene.</w:t>
      </w:r>
    </w:p>
    <w:p w:rsidR="00000000" w:rsidDel="00000000" w:rsidP="00000000" w:rsidRDefault="00000000" w:rsidRPr="00000000" w14:paraId="0000000F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Il laboratorio del 29 giugno promosso da REV Green, all'interno del progetto di informazione ed innovazione sociale volto al tessuto socio-economico del GAL Terre di Argil, ha studiato e approfondito  queste pratiche emergenti, evidenziando la loro diversità sia riguardo ai temi di cui si occupano, sia per le forme organizzative e di gestione che propongono. </w:t>
      </w:r>
    </w:p>
    <w:p w:rsidR="00000000" w:rsidDel="00000000" w:rsidP="00000000" w:rsidRDefault="00000000" w:rsidRPr="00000000" w14:paraId="00000010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Ha rappresentato un importante momento di informazione e di confronto affinché queste pratiche si conoscano, si </w:t>
      </w:r>
      <w:r w:rsidDel="00000000" w:rsidR="00000000" w:rsidRPr="00000000">
        <w:rPr>
          <w:rFonts w:ascii="Lora" w:cs="Lora" w:eastAsia="Lora" w:hAnsi="Lora"/>
          <w:rtl w:val="0"/>
        </w:rPr>
        <w:t xml:space="preserve">moltiplichino</w:t>
      </w:r>
      <w:r w:rsidDel="00000000" w:rsidR="00000000" w:rsidRPr="00000000">
        <w:rPr>
          <w:rFonts w:ascii="Lora" w:cs="Lora" w:eastAsia="Lora" w:hAnsi="Lora"/>
          <w:rtl w:val="0"/>
        </w:rPr>
        <w:t xml:space="preserve"> e contribuiscano a creare futuri rurali desiderabili. </w:t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Riteniamo importante sottolineare come tale appuntamento abbia evidenziato e lavorato intensamente sulla definizione di  una metodologia sia per la ricerca che per la condivisione di pratiche legate ai commons rurali e la gestione collettiva di bisogni, idee, terre, beni, elementi, risorse in habitat rurali.</w:t>
      </w:r>
    </w:p>
    <w:p w:rsidR="00000000" w:rsidDel="00000000" w:rsidP="00000000" w:rsidRDefault="00000000" w:rsidRPr="00000000" w14:paraId="00000012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Ulteriore tassello dei lavori seminariali del 29 giugno che è da considerare un importante risultato dell'attività, nonché un fondamentale punto di partenza da cui partire e la cui  traiettoria rappresenta un asse fondamentale ed imprescindibile mediante cui praticare un processo di sviluppo rurale è la definizione di un senso comune e condiviso di costruzione identitaria</w:t>
      </w:r>
    </w:p>
    <w:p w:rsidR="00000000" w:rsidDel="00000000" w:rsidP="00000000" w:rsidRDefault="00000000" w:rsidRPr="00000000" w14:paraId="00000013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Questa contaminazione crea una “comunità di comunità” e fa ripensare gli spazi di opportunità del proprio territorio ripartendo dalle tante risorse già presenti per immaginare possibili futuri alternativi. </w:t>
      </w:r>
    </w:p>
    <w:p w:rsidR="00000000" w:rsidDel="00000000" w:rsidP="00000000" w:rsidRDefault="00000000" w:rsidRPr="00000000" w14:paraId="00000014">
      <w:pPr>
        <w:jc w:val="both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Lora" w:cs="Lora" w:eastAsia="Lora" w:hAnsi="Lor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Per operare questo ripensamento le pratiche collettive di cura del territorio e le comunità che le mettono in atto devono pensarsi come interdipendenti: come forme di cura e organizzazione dal basso, esse lavorano sulla base del concetto di sussidiarietà come custodi degli habitat rurali, ma allo stesso tempo devono poter contare su una collaborazione proficua con enti e istituzioni del territorio, e stringere alleanze con altre reti e territori che affrontano sfide simili. </w:t>
      </w:r>
    </w:p>
    <w:p w:rsidR="00000000" w:rsidDel="00000000" w:rsidP="00000000" w:rsidRDefault="00000000" w:rsidRPr="00000000" w14:paraId="00000017">
      <w:pPr>
        <w:jc w:val="both"/>
        <w:rPr>
          <w:rFonts w:ascii="Lora" w:cs="Lora" w:eastAsia="Lora" w:hAnsi="Lora"/>
        </w:rPr>
      </w:pPr>
      <w:bookmarkStart w:colFirst="0" w:colLast="0" w:name="_heading=h.gjdgxs" w:id="2"/>
      <w:bookmarkEnd w:id="2"/>
      <w:r w:rsidDel="00000000" w:rsidR="00000000" w:rsidRPr="00000000">
        <w:rPr>
          <w:rFonts w:ascii="Lora" w:cs="Lora" w:eastAsia="Lora" w:hAnsi="Lora"/>
          <w:rtl w:val="0"/>
        </w:rPr>
        <w:t xml:space="preserve">Nella collaborazione con le istituzioni locali ci deve essere un riconoscimento reciproco e che porti a sedersi ad un tavolo comune per una discussione aperta sul futuro del territorio. È solo con l’apertura di questo dialogo e con il riconoscimento di tali interdipendenze che i commons rurali possono diventare volano di un’alternativa concreta e attuabile di gestione e governo del territorio.</w:t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13.38582677165356" w:footer="113.385826771653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REV GREEN Associazione no Profit - C.F. 92089860602 Via Borgo Cave, 73 – 03020 ARNARA (FR)                    pec: revgreen@pec.it - e-mail: associazionerevgreen@gmail.com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5524500</wp:posOffset>
          </wp:positionH>
          <wp:positionV relativeFrom="paragraph">
            <wp:posOffset>42301</wp:posOffset>
          </wp:positionV>
          <wp:extent cx="1105853" cy="71090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5853" cy="710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190500</wp:posOffset>
          </wp:positionV>
          <wp:extent cx="3037523" cy="373466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7423" l="1437" r="1223" t="9244"/>
                  <a:stretch>
                    <a:fillRect/>
                  </a:stretch>
                </pic:blipFill>
                <pic:spPr>
                  <a:xfrm>
                    <a:off x="0" y="0"/>
                    <a:ext cx="3037523" cy="37346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1359B"/>
    <w:rPr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355A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Qi21Y+fEd6d2pmEwL7qKrSWEQ==">CgMxLjAyDWgudXdra3Z6M3cxaXcyDmguc2w1dG00aThyNGF4MghoLmdqZGd4czgAciExZFk1UzNhTGhBRl9fX1JTekdpMFBVdkNiZTBrcl9RamY=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2024-10-24T14:42:00Z</dcterms:created>
  <dc:creator>Chiara Lucia Guarino</dc:creator>
</cp:coreProperties>
</file>