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Relazione introduttiva</w:t>
      </w: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 del seminario 29/06/2022 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6"/>
          <w:szCs w:val="26"/>
        </w:rPr>
      </w:pPr>
      <w:bookmarkStart w:colFirst="0" w:colLast="0" w:name="_heading=h.sl5tm4i8r4ax" w:id="1"/>
      <w:bookmarkEnd w:id="1"/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rtl w:val="0"/>
        </w:rPr>
        <w:t xml:space="preserve">Una necessaria lettura globale per affrontare le sfide locali. L’identità non è perimetro ma relazione. Forme di relazione e forme di produzione che costituiscono la dimensione rurale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seminario odierno rappresenta uno step fondamentale nello sviluppo del progetto di informazione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volto a condividere, promuovere e favorire processi e momenti di analisi, confronto e dissemination aventi come asse tematico principale la relazione costituente e reciprocamente eccedente tra paesaggio rurale e filiere agroalimentari.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titolo dell'appuntamento - estremamente lungo, ma proprio per questo esaustivo - "Una necessaria lettura globale per affrontare le sfide locali. L’identità non è perimetro ma relazione. 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Forme di relazione e forme di produzione che costituiscono la dimensione rurale" illustra quella che sarà la chiave tematica dell'incontro: l'importanza delle connessioni, dell'innovazione, delle sinergie nel mondo rurale; e come tale dimensione - abitualmente e storicamente espressione di processi e dinamiche "conservatrici" - sia attualmente fucina ed incubatore di nuove forme di produzione, di relazione, di organizzazione.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Partendo da tali considerazioni, che sono anche fattori ed ingredienti alla base del progetto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nonché della mission e della strategia del GAL Terre di Argil, i lavori ed il confronto di oggi assumono particolare importanza poiché saranno volti a conoscere, approfondire e comprendere le potenzialità "del comune" nel processo di sviluppo rurale in fieri.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 laboratorio che vuole essere momento di studio, di confronto e di progettazione volto a comprendere, approfondire e rendere "patrimonio e vettore sistemico" l'idea, gli strumenti, il capitale derivante da una valorizzazione condivisa, consapevole e partecipata dell'idea e del senso di bene comune.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Declinando ed interpretando tale concetto nell'estrema funzionalità ed importanza che tale categoria - da interpretare in termini di atto e potenza - riveste nelle dinamiche socio-economiche agro-rurali.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forza e la potenza della dimensione rurale; il processo immanente che ribalta la Vandea e quotidianamente pratica interstizi, pieghe e strumenti socialmente innovativi che valorizzano, efficientano, danno prospettiva e funzione al patrimonio ed al "senso" comune.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Una lettura ed un'interpretazione estremamente impattanti in un territorio ed in un sistema come quello del GAL terre di Argil in cui la logica NIMBY e la scarsa cooperazione sono elementi caratterizzanti filiera </w:t>
      </w:r>
      <w:r w:rsidDel="00000000" w:rsidR="00000000" w:rsidRPr="00000000">
        <w:rPr>
          <w:rFonts w:ascii="Lora" w:cs="Lora" w:eastAsia="Lora" w:hAnsi="Lora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ed il tessuto socio-economico.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L'impatto cortocircuitante ed il senso di tale lettura ha reso necessario nell'argomentare e nel presentare il seminario odierno un interprete di elevato calibro ed enorme spessore - che ringraziamo sentitamente per la disponibilità e l'enorme passione con cui ha accolto il nostro invito - quale è il Professor Massimo De Angelis dell'East London University.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ogni angolo del mondo emergono pratiche che aprono spazi di imprevedibilità: nuove forme di aggregazione politica rifiutano, in modi differenti, il dogma del profitto, sottraggono al mercato tempo, relazioni e saperi, per porre le fondamenta di un autentico e variegato movimento. 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È quello che alcuni chiamano arcipelago dei commons.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Oggi abbiamo una grande questione politica di fronte. Questa ha due aspetti fondamentali. In primo luogo, il valore di queste attività e modi di produrre alternative è che esse ci permettono di sottrarre parte della nostra riproduzione alla gestione del capitale, e quindi a </w:t>
      </w:r>
      <w:r w:rsidDel="00000000" w:rsidR="00000000" w:rsidRPr="00000000">
        <w:rPr>
          <w:rFonts w:ascii="Lora" w:cs="Lora" w:eastAsia="Lora" w:hAnsi="Lora"/>
          <w:rtl w:val="0"/>
        </w:rPr>
        <w:t xml:space="preserve">deciderne</w:t>
      </w:r>
      <w:r w:rsidDel="00000000" w:rsidR="00000000" w:rsidRPr="00000000">
        <w:rPr>
          <w:rFonts w:ascii="Lora" w:cs="Lora" w:eastAsia="Lora" w:hAnsi="Lora"/>
          <w:rtl w:val="0"/>
        </w:rPr>
        <w:t xml:space="preserve"> i contenuti e le forme.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esempio, un’economia solidale del grano e della farina, ci permette di valorizzare tipi di grani antichi a basso contenuto di glutine, politicizzare il prezzo del pane, mettere in questione i metodi di panificazione, costruire forme collettive eque di produzione e distribuzione, porre la questione ecologica al centro del nostro fare in comune, e perfino distribuire il lavoro. </w:t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Questa sottrazione contribuisce a liberare il nostro tempo dai ritmi e i valori del capitale, e aumenta il nostro grado di autonomia dai suoi ricatti. </w:t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Non diventiamo quindi più liberi di produrre ciò che vogliamo nei modi che vogliamo, ma anche un po’ più </w:t>
      </w:r>
      <w:r w:rsidDel="00000000" w:rsidR="00000000" w:rsidRPr="00000000">
        <w:rPr>
          <w:rFonts w:ascii="Lora" w:cs="Lora" w:eastAsia="Lora" w:hAnsi="Lora"/>
          <w:rtl w:val="0"/>
        </w:rPr>
        <w:t xml:space="preserve">risalienti</w:t>
      </w:r>
      <w:r w:rsidDel="00000000" w:rsidR="00000000" w:rsidRPr="00000000">
        <w:rPr>
          <w:rFonts w:ascii="Lora" w:cs="Lora" w:eastAsia="Lora" w:hAnsi="Lora"/>
          <w:rtl w:val="0"/>
        </w:rPr>
        <w:t xml:space="preserve"> nella nostra riproduzione, cioè in grado di meglio contrastare le crisi che ci vengono imposte dal </w:t>
      </w:r>
      <w:r w:rsidDel="00000000" w:rsidR="00000000" w:rsidRPr="00000000">
        <w:rPr>
          <w:rFonts w:ascii="Lora" w:cs="Lora" w:eastAsia="Lora" w:hAnsi="Lora"/>
          <w:rtl w:val="0"/>
        </w:rPr>
        <w:t xml:space="preserve">sistemo</w:t>
      </w:r>
      <w:r w:rsidDel="00000000" w:rsidR="00000000" w:rsidRPr="00000000">
        <w:rPr>
          <w:rFonts w:ascii="Lora" w:cs="Lora" w:eastAsia="Lora" w:hAnsi="Lora"/>
          <w:rtl w:val="0"/>
        </w:rPr>
        <w:t xml:space="preserve"> economico dominato dal capitale. Il secondo aspetto del problema politico è quello affermativo. 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È chiaro che la diffusione e la scala dei commons devono aumentare per far fronte alle grandi sfide del presente, e qui è importante cominciare a pensare un percorso </w:t>
      </w:r>
      <w:r w:rsidDel="00000000" w:rsidR="00000000" w:rsidRPr="00000000">
        <w:rPr>
          <w:rFonts w:ascii="Lora" w:cs="Lora" w:eastAsia="Lora" w:hAnsi="Lora"/>
          <w:rtl w:val="0"/>
        </w:rPr>
        <w:t xml:space="preserve">ricompositivo</w:t>
      </w:r>
      <w:r w:rsidDel="00000000" w:rsidR="00000000" w:rsidRPr="00000000">
        <w:rPr>
          <w:rFonts w:ascii="Lora" w:cs="Lora" w:eastAsia="Lora" w:hAnsi="Lora"/>
          <w:rtl w:val="0"/>
        </w:rPr>
        <w:t xml:space="preserve"> di queste realtà, che ne aumenti la forza rivendicativa e che riesca a </w:t>
      </w:r>
      <w:r w:rsidDel="00000000" w:rsidR="00000000" w:rsidRPr="00000000">
        <w:rPr>
          <w:rFonts w:ascii="Lora" w:cs="Lora" w:eastAsia="Lora" w:hAnsi="Lora"/>
          <w:rtl w:val="0"/>
        </w:rPr>
        <w:t xml:space="preserve">comunicarne</w:t>
      </w:r>
      <w:r w:rsidDel="00000000" w:rsidR="00000000" w:rsidRPr="00000000">
        <w:rPr>
          <w:rFonts w:ascii="Lora" w:cs="Lora" w:eastAsia="Lora" w:hAnsi="Lora"/>
          <w:rtl w:val="0"/>
        </w:rPr>
        <w:t xml:space="preserve"> il valore propositivo ad altri settori della moltitudine. 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 esempio nel presente è la pressione fiscale sulle famiglie e le comunità che si autorganizzano per la loro riproduzione, che dovrebbero vedere una drastica diminuzione di tasse sui pochi redditi che riescono ad accedere o sull’IVA pagata per le merci che devono comunque acquistare per la loro riproduzione.</w:t>
      </w:r>
    </w:p>
    <w:p w:rsidR="00000000" w:rsidDel="00000000" w:rsidP="00000000" w:rsidRDefault="00000000" w:rsidRPr="00000000" w14:paraId="0000001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Un altro esempio è l’accesso a </w:t>
      </w:r>
      <w:r w:rsidDel="00000000" w:rsidR="00000000" w:rsidRPr="00000000">
        <w:rPr>
          <w:rFonts w:ascii="Lora" w:cs="Lora" w:eastAsia="Lora" w:hAnsi="Lora"/>
          <w:rtl w:val="0"/>
        </w:rPr>
        <w:t xml:space="preserve">terre</w:t>
      </w:r>
      <w:r w:rsidDel="00000000" w:rsidR="00000000" w:rsidRPr="00000000">
        <w:rPr>
          <w:rFonts w:ascii="Lora" w:cs="Lora" w:eastAsia="Lora" w:hAnsi="Lora"/>
          <w:rtl w:val="0"/>
        </w:rPr>
        <w:t xml:space="preserve"> o edifici in disuso spesso per fini speculativi o di semplice abbandono o demaniali, che varie comunità potrebbero usare per aumentare la diffusione dell’economia solidale e dei commons.</w:t>
      </w:r>
    </w:p>
    <w:p w:rsidR="00000000" w:rsidDel="00000000" w:rsidP="00000000" w:rsidRDefault="00000000" w:rsidRPr="00000000" w14:paraId="0000001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 ulteriore esempio è la domanda crescente di riterritorializzazione dei processi di riproduzione, a partire dal cibo a Km Zero all’interno di economie solidali, ma anche la sanità, l’educazione e la cultura. </w:t>
      </w:r>
    </w:p>
    <w:p w:rsidR="00000000" w:rsidDel="00000000" w:rsidP="00000000" w:rsidRDefault="00000000" w:rsidRPr="00000000" w14:paraId="0000001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 si dovesse mettere insieme ciò che sembra emergere da un arcipelago dei commons ci sono tre principali assi entro i quali si modulano gli obiettivi e le aspirazioni dei commons: Riproduzione immediata della vita: cibo, casa, terra, salute, educazione e cultura, ambiente; solidarietà e accoglienza; giustizia sociale e redistribuzione della ricchezza sociale. </w:t>
      </w:r>
    </w:p>
    <w:p w:rsidR="00000000" w:rsidDel="00000000" w:rsidP="00000000" w:rsidRDefault="00000000" w:rsidRPr="00000000" w14:paraId="0000001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Questi tre assi sono ovviamente tra loro collegati: c’è una relazione, per esempio, tra la questione ambientale (primo asse) e la questione della redistribuzione della ricchezza sociale (terzo asse), o tra la questione della riproduzione di immediata della vita e quella della solidarietà e accoglienza, sebbene questa relazione non sia sempre lineare. </w:t>
      </w:r>
    </w:p>
    <w:p w:rsidR="00000000" w:rsidDel="00000000" w:rsidP="00000000" w:rsidRDefault="00000000" w:rsidRPr="00000000" w14:paraId="0000001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 sono sistemi sociali i cui elementi strutturali sono commonwealth – cioè risorse materiali e immateriali messi in comune – e una pluralità di persone, di commoners, cioè una comunità che insieme definisce le proprie relazioni al loro interno e nei confronti delle risorse in comune. </w:t>
      </w:r>
    </w:p>
    <w:p w:rsidR="00000000" w:rsidDel="00000000" w:rsidP="00000000" w:rsidRDefault="00000000" w:rsidRPr="00000000" w14:paraId="0000001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fine ultimo del commons non è il profitto, ma la riproduzione di uno o più aspetti della vita. Questo è fatto attraverso il commoning, cioè il fare in comune, e attraverso il quale non si crea soltanto ricchezza (di cose, idee, culture, affetti e relazioni), ma anche decisioni, regole, confini dei commons e rapporti con altri commons. </w:t>
      </w:r>
    </w:p>
    <w:p w:rsidR="00000000" w:rsidDel="00000000" w:rsidP="00000000" w:rsidRDefault="00000000" w:rsidRPr="00000000" w14:paraId="0000002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quanto sistemi sociali, riconoscere i commons vuol dire riconoscere tre cose. In primo luogo, l’esistenza concreta di alternative, di altri modi di fare basati su altri valori che quelli del capitale.</w:t>
      </w:r>
    </w:p>
    <w:p w:rsidR="00000000" w:rsidDel="00000000" w:rsidP="00000000" w:rsidRDefault="00000000" w:rsidRPr="00000000" w14:paraId="0000002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Il riconoscimento di questa esistenza concreta significa rompere con il pensiero unico, il cinismo e il disfattismo, e quindi aprire uno spiraglio di speranza. In secondo luogo, è importante riconoscere che ogni commons, per quanto piccola sia la sua estensione sociale, è una cellula entro la quale delle forze sociali sono mobilitate per obiettivi di riproduzione. </w:t>
      </w:r>
    </w:p>
    <w:p w:rsidR="00000000" w:rsidDel="00000000" w:rsidP="00000000" w:rsidRDefault="00000000" w:rsidRPr="00000000" w14:paraId="0000002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Concepire i commons come forze sociali significa aprire un orizzonte entro i quali i commons possono aumentare la loro forza sociale, a porre strategicamente la questione della loro diffusione ed espansione.</w:t>
      </w:r>
    </w:p>
    <w:p w:rsidR="00000000" w:rsidDel="00000000" w:rsidP="00000000" w:rsidRDefault="00000000" w:rsidRPr="00000000" w14:paraId="0000002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 sono il modo in cui una comunità, dandosi regole e confini, condivide una risorsa, fuori dal mercato e dallo Stato. Mentre in italiano, l’espressione beni comuni focalizza l’attenzione sui “beni” in sé: e infatti si tendono a interpretarli come “beni che lo Stato deve gestire nell’interesse della collettività”. L’approssimazione più adatta è il termine giuridico italiano, “usi civici”, che indica non tanto il bene, quanto l’uso e le usanze che regolano appunto l’uso.</w:t>
      </w:r>
    </w:p>
    <w:p w:rsidR="00000000" w:rsidDel="00000000" w:rsidP="00000000" w:rsidRDefault="00000000" w:rsidRPr="00000000" w14:paraId="0000002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 non sono semplicemente cose o risorse. Chi non conosce gli studi sui commons cade facilmente in questo errore, o perché sono economisti che tendono a reificare tutto, o perché sono commoner che dichiarano che una certa risorsa dovrebbe essere governata come un commons (…).</w:t>
      </w:r>
    </w:p>
    <w:p w:rsidR="00000000" w:rsidDel="00000000" w:rsidP="00000000" w:rsidRDefault="00000000" w:rsidRPr="00000000" w14:paraId="00000025">
      <w:pPr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I commons possono certamente includere risorse fisiche e intangibili di ogni sorta, ma è più corretto definirli come paradigmi che combinano una comunità distinta con un insieme di pratiche, valori e regole sociali utilizzati per gestire una risorsa. In altri termini, un commons è una risorsa più una comunità più un insieme di protocolli sociali.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209550</wp:posOffset>
          </wp:positionV>
          <wp:extent cx="3037523" cy="37346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42301</wp:posOffset>
          </wp:positionV>
          <wp:extent cx="1105853" cy="71090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439lDzzl4QUAYQBu48Up6Swrug==">CgMxLjAyDWgudXdra3Z6M3cxaXcyDmguc2w1dG00aThyNGF4MghoLmdqZGd4czgAciExekdFMnBfdlRIZ1FDcFJ5UlUwS0VSREp5RDM5SFpGS2I=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2024-10-24T14:37:00Z</dcterms:created>
  <dc:creator>Chiara Lucia Guarino</dc:creator>
</cp:coreProperties>
</file>