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ora" w:cs="Lora" w:eastAsia="Lora" w:hAnsi="Lora"/>
          <w:i w:val="1"/>
          <w:sz w:val="22"/>
          <w:szCs w:val="22"/>
        </w:rPr>
      </w:pPr>
      <w:bookmarkStart w:colFirst="0" w:colLast="0" w:name="_heading=h.uwkkvz3w1iw" w:id="0"/>
      <w:bookmarkEnd w:id="0"/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Agrifood</w:t>
      </w: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 Chain Storytelling</w:t>
      </w: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Lora" w:cs="Lora" w:eastAsia="Lora" w:hAnsi="Lora"/>
          <w:i w:val="1"/>
          <w:sz w:val="22"/>
          <w:szCs w:val="22"/>
          <w:rtl w:val="0"/>
        </w:rPr>
        <w:t xml:space="preserve">Op.19.2.1 1.2.1 “Attività dimostrative e azioni di informazione” GAL Terre di Argil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0" w:lineRule="auto"/>
        <w:ind w:left="97" w:right="85" w:firstLine="0"/>
        <w:jc w:val="center"/>
        <w:rPr>
          <w:rFonts w:ascii="Lora" w:cs="Lora" w:eastAsia="Lora" w:hAnsi="Lora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Focus tematico </w:t>
      </w: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del seminario 28/06/2022 (pomeriggio)</w:t>
      </w:r>
    </w:p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65" w:lineRule="auto"/>
        <w:ind w:left="97" w:right="85" w:firstLine="0"/>
        <w:jc w:val="center"/>
        <w:rPr>
          <w:rFonts w:ascii="Lora" w:cs="Lora" w:eastAsia="Lora" w:hAnsi="Lora"/>
          <w:i w:val="1"/>
          <w:sz w:val="28"/>
          <w:szCs w:val="28"/>
        </w:rPr>
      </w:pPr>
      <w:bookmarkStart w:colFirst="0" w:colLast="0" w:name="_heading=h.k3skhzaqwao5" w:id="1"/>
      <w:bookmarkEnd w:id="1"/>
      <w:r w:rsidDel="00000000" w:rsidR="00000000" w:rsidRPr="00000000">
        <w:rPr>
          <w:rFonts w:ascii="Lora" w:cs="Lora" w:eastAsia="Lora" w:hAnsi="Lora"/>
          <w:i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Lora" w:cs="Lora" w:eastAsia="Lora" w:hAnsi="Lora"/>
          <w:i w:val="1"/>
          <w:sz w:val="30"/>
          <w:szCs w:val="30"/>
          <w:highlight w:val="white"/>
          <w:rtl w:val="0"/>
        </w:rPr>
        <w:t xml:space="preserve">Coltura e cultura dell’olio extravergine d’oliva italiano; tra paesaggio e produzione</w:t>
      </w:r>
      <w:r w:rsidDel="00000000" w:rsidR="00000000" w:rsidRPr="00000000">
        <w:rPr>
          <w:rFonts w:ascii="Lora" w:cs="Lora" w:eastAsia="Lora" w:hAnsi="Lora"/>
          <w:i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L'Italia è la seconda produttrice al mondo di olio con circa il 24%, la Spagna è la prima con oltre il 50%; e 7/8 cultivar coprono oltre il 95% della produzione totale del paese iberico.       La produzione italiana è caratterizzata da oltre 500 varietà di olio.</w:t>
      </w:r>
    </w:p>
    <w:p w:rsidR="00000000" w:rsidDel="00000000" w:rsidP="00000000" w:rsidRDefault="00000000" w:rsidRPr="00000000" w14:paraId="0000000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piega, il particolare, la sfumatura sono, indubbiamente, l'elemento caratterizzante la nostra ruralità. Sapori, suggestioni, evocazioni caratterizzano e rendono unica la nostra produzione, ma allo stesso tempo l'estrema frammentarietà della filiera sottende anche la difficoltà di "fare sistema", di aggregare l'offerta; esprime un'oggettiva difficoltà dell'offerta di essere "forte" sul mercato.</w:t>
      </w:r>
    </w:p>
    <w:p w:rsidR="00000000" w:rsidDel="00000000" w:rsidP="00000000" w:rsidRDefault="00000000" w:rsidRPr="00000000" w14:paraId="0000000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Ergo l'unicità. la piega, la sfumatura… l'eccezionale biodiversità che caratterizza le nostre filiere agroalimentari sono potenzialmente un punto di forza, ma ad oggi, un fattore di debolezza.</w:t>
      </w:r>
    </w:p>
    <w:p w:rsidR="00000000" w:rsidDel="00000000" w:rsidP="00000000" w:rsidRDefault="00000000" w:rsidRPr="00000000" w14:paraId="0000000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Per ribaltare tale condizione è indispensabile considerare alcuni fattori/dinamiche: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rafforzare i processi di aggregazione e di cooperazione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Lora" w:cs="Lora" w:eastAsia="Lora" w:hAnsi="Lor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incrementare il rapporto virtuoso tra produzione materiale ed economia immateriale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Lora" w:cs="Lora" w:eastAsia="Lora" w:hAnsi="Lor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riconoscere centralità e legittimazione al concetto di biodiversità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Lora" w:cs="Lora" w:eastAsia="Lora" w:hAnsi="Lor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porre il territorio al centro delle dinamiche economiche</w:t>
      </w:r>
    </w:p>
    <w:p w:rsidR="00000000" w:rsidDel="00000000" w:rsidP="00000000" w:rsidRDefault="00000000" w:rsidRPr="00000000" w14:paraId="00000011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Dare immanenza e sostanza al concetto di biodiversità, proiettandolo oltre facili ed utilitaristiche interpretazioni "qualunquistiche". Valorizzanti nel breve (anche se realmente utili alla sola distribuzione), ma perdenti nel medio lungo periodo.</w:t>
      </w:r>
    </w:p>
    <w:p w:rsidR="00000000" w:rsidDel="00000000" w:rsidP="00000000" w:rsidRDefault="00000000" w:rsidRPr="00000000" w14:paraId="0000001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Leggere la biodiversità vuol dire capire, apprezzare, fare proprie, le variabili e le sfumature del complessivo. Comprendere ed interiorizzare, dunque, che il mondo non è mai bianco o nero, ma che è parziale, meticcio, misto. Il mondo è sfumatura, è composizione delle differenze.</w:t>
      </w:r>
    </w:p>
    <w:p w:rsidR="00000000" w:rsidDel="00000000" w:rsidP="00000000" w:rsidRDefault="00000000" w:rsidRPr="00000000" w14:paraId="00000013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 quanto tale la biodiversità non può essere letta come “dimensione identitaria”, ma va letta nella costruzione del comune. E la salvaguardia di quest’ultima, pertanto, non può voler dire distorsione del processo produttivo, ma altra interpretazione del processo medesimo, tanto in termini di qualità della vita quanto di rivalutazione del paesaggio.</w:t>
      </w:r>
    </w:p>
    <w:p w:rsidR="00000000" w:rsidDel="00000000" w:rsidP="00000000" w:rsidRDefault="00000000" w:rsidRPr="00000000" w14:paraId="00000014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Proprio la biodiversità è la chiave di lettura del paesaggio. Possiamo considerare l’ambiente naturale come un testo contenente un messaggio in codice da decifrare. Gli organismi sono le lettere del messaggio; le lettere si compongono in parole, rappresentate dai gruppi sociali e dalle strutture delle popolazioni, e le parole si compongono in frasi. </w:t>
      </w:r>
    </w:p>
    <w:p w:rsidR="00000000" w:rsidDel="00000000" w:rsidP="00000000" w:rsidRDefault="00000000" w:rsidRPr="00000000" w14:paraId="00000015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disposizione delle popolazioni può essere considerata come la grammatica e la sintassi di questo linguaggio.  </w:t>
      </w:r>
    </w:p>
    <w:p w:rsidR="00000000" w:rsidDel="00000000" w:rsidP="00000000" w:rsidRDefault="00000000" w:rsidRPr="00000000" w14:paraId="0000001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connettività fra le specie è la struttura lessicale. Il significato del messaggio varia in relazione con la biodiversità: quest’ultima è il contenuto di informazione del sistema.</w:t>
      </w:r>
    </w:p>
    <w:p w:rsidR="00000000" w:rsidDel="00000000" w:rsidP="00000000" w:rsidRDefault="00000000" w:rsidRPr="00000000" w14:paraId="0000001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Dobbiamo inoltre tenere conto del fatto che la biodiversità è antagonista della produttività che caratterizza il mondo in cui viviamo: ogni incremento di produzione comporta una diminuzione della biodiversità e con essa della stabilità dei sistemi che tendono a degradarsi e distruggersi.</w:t>
      </w:r>
    </w:p>
    <w:p w:rsidR="00000000" w:rsidDel="00000000" w:rsidP="00000000" w:rsidRDefault="00000000" w:rsidRPr="00000000" w14:paraId="0000001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Ed è proprio per questo motivo che dobbiamo pensare a una forma di reddito e produttività alternativi, che siano frutto di un processo non più volto alla distruzione, ma allo sviluppo di fattori diversi e positivi in termini di prodotti, coltivazioni, cibo…</w:t>
      </w:r>
    </w:p>
    <w:p w:rsidR="00000000" w:rsidDel="00000000" w:rsidP="00000000" w:rsidRDefault="00000000" w:rsidRPr="00000000" w14:paraId="0000001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Se la diversità, colta nelle sue espressioni biologiche, è la forza dinamica – causa ed effetto del divenire (cambiamento), la condizione ineluttabile e costituente dell’evoluzione e della vita – allo stesso tempo gli atteggiamenti culturali dell’uomo tendono spesso ad identificare con l’essere (la stasi, la difesa dal cambiamento) – quindi l’identità di cui sopra – il porto salvo in cui riporre le proprie aspettative.</w:t>
      </w:r>
    </w:p>
    <w:p w:rsidR="00000000" w:rsidDel="00000000" w:rsidP="00000000" w:rsidRDefault="00000000" w:rsidRPr="00000000" w14:paraId="0000001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Questo atteggiamento, seppur comprensibilmente istintivo nei momenti di criticità, dimostra, in realtà, di essere poco più di una controproducente suggestione se paragonato a quanto nelle arti, nella scienza, nella società e nell’opera umana in generale accade ciclicamente e continua ad accadere. </w:t>
      </w:r>
    </w:p>
    <w:p w:rsidR="00000000" w:rsidDel="00000000" w:rsidP="00000000" w:rsidRDefault="00000000" w:rsidRPr="00000000" w14:paraId="0000001B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Dal sincretismo culturale, composto con il DNA della diversità antropologica, dalla “contaminazione” tra diversi e dall’ibridazione delle diversità si generano resilienza (capacità di reagire al danno) e resistenza (capacità di resistere al danno), nascono orizzonti altri e più ampi. </w:t>
      </w:r>
    </w:p>
    <w:p w:rsidR="00000000" w:rsidDel="00000000" w:rsidP="00000000" w:rsidRDefault="00000000" w:rsidRPr="00000000" w14:paraId="0000001C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Con la convergenza delle diversità verso il sincretismo (definizione antropologica), l’equilibrio dinamico, si supera la staticità di un modello “binario” che ha dominato la stessa percezione del Mondo fino a poco tempo fa (i poli e gli schieramenti, locale vs globale, ecc) e che oggi dimostra tutti i suoi limiti, superati dalla miriade di sfumature che la realtà assume.</w:t>
      </w:r>
    </w:p>
    <w:p w:rsidR="00000000" w:rsidDel="00000000" w:rsidP="00000000" w:rsidRDefault="00000000" w:rsidRPr="00000000" w14:paraId="0000001D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È qui che il concetto di </w:t>
      </w:r>
      <w:r w:rsidDel="00000000" w:rsidR="00000000" w:rsidRPr="00000000">
        <w:rPr>
          <w:rFonts w:ascii="Lora" w:cs="Lora" w:eastAsia="Lora" w:hAnsi="Lora"/>
          <w:rtl w:val="0"/>
        </w:rPr>
        <w:t xml:space="preserve">bio-diversità</w:t>
      </w:r>
      <w:r w:rsidDel="00000000" w:rsidR="00000000" w:rsidRPr="00000000">
        <w:rPr>
          <w:rFonts w:ascii="Lora" w:cs="Lora" w:eastAsia="Lora" w:hAnsi="Lora"/>
          <w:rtl w:val="0"/>
        </w:rPr>
        <w:t xml:space="preserve"> si apre a considerazioni che trascendono le connotazioni ecologiste dell’etimo, virando verso metaforici significati culturali: per l’ecologia un sistema è composto da elementi funzionali che ne consentono l’equilibrio e vivono di relazioni (biosfera – territorio), più le singolarità integrano le proprie peculiarità con le altre, più il sistema è in equilibrio. </w:t>
      </w:r>
    </w:p>
    <w:p w:rsidR="00000000" w:rsidDel="00000000" w:rsidP="00000000" w:rsidRDefault="00000000" w:rsidRPr="00000000" w14:paraId="0000001E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Per proiettare il concetto di biodiversità sulla sfera culturale ed economica (quindi quella propria dell’agire umano) è necessario richiamare il concetto di OLISMO.</w:t>
      </w:r>
    </w:p>
    <w:p w:rsidR="00000000" w:rsidDel="00000000" w:rsidP="00000000" w:rsidRDefault="00000000" w:rsidRPr="00000000" w14:paraId="0000001F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 questo processo le agricolture divengono di nuovo un comparto produttivo cruciale; scopriamo che il nostro Paese ricco di cultura, di arte, di enogastronomia e di biodiversità può ritenere il turismo un motore.. </w:t>
      </w:r>
    </w:p>
    <w:p w:rsidR="00000000" w:rsidDel="00000000" w:rsidP="00000000" w:rsidRDefault="00000000" w:rsidRPr="00000000" w14:paraId="00000020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Cerchiamo insomma di reinventare e ridisegnare un nuovo paradigma produttivo. Nuove forme di produzione e di vita in un sistema che complessivamente cambia.</w:t>
      </w:r>
    </w:p>
    <w:p w:rsidR="00000000" w:rsidDel="00000000" w:rsidP="00000000" w:rsidRDefault="00000000" w:rsidRPr="00000000" w14:paraId="00000021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biodiversità, il particolare, la sfumatura hanno forza nell’affresco complessivo. Nell’organizzazione e nella capacità di progettazione ed anche nella necessaria valorizzazione del ruolo e della finzione di assistenza, di intermediazione di costruzione di un tessuto produttivo e sociale che una forza ed un peso nella governance.</w:t>
      </w:r>
    </w:p>
    <w:p w:rsidR="00000000" w:rsidDel="00000000" w:rsidP="00000000" w:rsidRDefault="00000000" w:rsidRPr="00000000" w14:paraId="00000022">
      <w:pPr>
        <w:jc w:val="both"/>
        <w:rPr>
          <w:rFonts w:ascii="Lora" w:cs="Lora" w:eastAsia="Lora" w:hAnsi="Lora"/>
        </w:rPr>
      </w:pPr>
      <w:bookmarkStart w:colFirst="0" w:colLast="0" w:name="_heading=h.gjdgxs" w:id="2"/>
      <w:bookmarkEnd w:id="2"/>
      <w:r w:rsidDel="00000000" w:rsidR="00000000" w:rsidRPr="00000000">
        <w:rPr>
          <w:rFonts w:ascii="Lora" w:cs="Lora" w:eastAsia="Lora" w:hAnsi="Lora"/>
          <w:rtl w:val="0"/>
        </w:rPr>
        <w:t xml:space="preserve">Ed allora la ruralità, la provincia laziale, come quella italiana abbisognano di un processo costituente, che ponga il nodo, il particolare, al centro di un percorso ampio e partecipato. Di idee, di sudore, di sogni e di voglia di costruire una provincia una dimensione rurale cha abbia e richieda dignità. Servizi. Rappresentanza. Strategia.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113.38582677165356" w:footer="113.385826771653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Courier New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REV GREEN Associazione no Profit - C.F. 92089860602 Via Borgo Cave, 73 – 03020 ARNARA (FR)                    pec: revgreen@pec.it - e-mail: associazionerevgreen@gmail.com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5457825</wp:posOffset>
          </wp:positionH>
          <wp:positionV relativeFrom="paragraph">
            <wp:posOffset>42301</wp:posOffset>
          </wp:positionV>
          <wp:extent cx="1105853" cy="71090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853" cy="710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-361949</wp:posOffset>
          </wp:positionH>
          <wp:positionV relativeFrom="paragraph">
            <wp:posOffset>190500</wp:posOffset>
          </wp:positionV>
          <wp:extent cx="3037523" cy="373466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7423" l="1437" r="1223" t="9244"/>
                  <a:stretch>
                    <a:fillRect/>
                  </a:stretch>
                </pic:blipFill>
                <pic:spPr>
                  <a:xfrm>
                    <a:off x="0" y="0"/>
                    <a:ext cx="3037523" cy="37346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1359B"/>
    <w:rPr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355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GIm3S4w+mrPHbGLMYPfyVQopA==">CgMxLjAyDWgudXdra3Z6M3cxaXcyDmguazNza2h6YXF3YW81MghoLmdqZGd4czgAciExMFhHb2Q5NlBZcEdrYmNlVGlpTFVxNFM5SzlVNl8wQk8=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2024-10-24T14:34:00Z</dcterms:created>
  <dc:creator>Chiara Lucia Guarino</dc:creator>
</cp:coreProperties>
</file>